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40653429" w14:textId="5FE22E46" w:rsidR="007B62E4" w:rsidRPr="004C4395" w:rsidRDefault="007B62E4" w:rsidP="00FA5A00">
      <w:pPr>
        <w:spacing w:line="480" w:lineRule="auto"/>
        <w:jc w:val="center"/>
        <w:rPr>
          <w:b/>
          <w:u w:val="single"/>
        </w:rPr>
      </w:pPr>
      <w:r w:rsidRPr="004C4395">
        <w:rPr>
          <w:b/>
          <w:u w:val="single"/>
        </w:rPr>
        <w:t>Corporate Finance 2 Final Paper</w:t>
      </w:r>
      <w:r w:rsidR="00FA5A00" w:rsidRPr="004C4395">
        <w:rPr>
          <w:b/>
          <w:u w:val="single"/>
        </w:rPr>
        <w:t xml:space="preserve"> - </w:t>
      </w:r>
      <w:r w:rsidRPr="004C4395">
        <w:rPr>
          <w:b/>
          <w:u w:val="single"/>
        </w:rPr>
        <w:t>Chethan Mittapalli</w:t>
      </w:r>
    </w:p>
    <w:p w14:paraId="079231B1" w14:textId="77777777" w:rsidR="007F3406" w:rsidRDefault="00DE500E" w:rsidP="00DE500E">
      <w:pPr>
        <w:spacing w:line="480" w:lineRule="auto"/>
        <w:rPr>
          <w:b/>
          <w:u w:val="single"/>
        </w:rPr>
      </w:pPr>
      <w:r w:rsidRPr="00977BD5">
        <w:rPr>
          <w:b/>
          <w:u w:val="single"/>
        </w:rPr>
        <w:t>Solution 1:</w:t>
      </w:r>
      <w:r w:rsidR="007F3406" w:rsidRPr="00977BD5">
        <w:rPr>
          <w:b/>
          <w:u w:val="single"/>
        </w:rPr>
        <w:t xml:space="preserve"> </w:t>
      </w:r>
    </w:p>
    <w:p w14:paraId="352C5D9D" w14:textId="77777777" w:rsidR="00384014" w:rsidRDefault="00384014" w:rsidP="00384014">
      <w:pPr>
        <w:spacing w:line="480" w:lineRule="auto"/>
      </w:pPr>
      <w:r>
        <w:t xml:space="preserve">Sun Micro Shares are about rightly priced at $6.69/share, as intrinsic value share price from Entity and Equity valuation of Standalone Sun Microsystems is $6.77/share. The standalone Entity and Equity value is  $3191 Mn and $5003 Mn, which include Cash and debt instruments of $3061 Mn. Also, existing debt of $1249 is also used in calculating equity and entity value. In Sun Micro, Cash and debt instruments plays an important role and is considered in market price valuation. </w:t>
      </w:r>
    </w:p>
    <w:p w14:paraId="0210241C" w14:textId="77777777" w:rsidR="00384014" w:rsidRDefault="00384014" w:rsidP="00384014">
      <w:pPr>
        <w:spacing w:line="480" w:lineRule="auto"/>
      </w:pPr>
      <w:r>
        <w:tab/>
        <w:t>Perpetual growth rate of 2% is reasonable as the industry is growing at about 4.8%, 11.8% and 4.8% in hardware, software and peripherals segments in the industry till 2013. In the long run, this would stabilize at about 2% as industry is very mature and more of an oligopoly and would like to take a conservative 2% growth rate for valuation.</w:t>
      </w:r>
    </w:p>
    <w:p w14:paraId="4045F201" w14:textId="77777777" w:rsidR="00384014" w:rsidRDefault="00384014" w:rsidP="00384014">
      <w:pPr>
        <w:spacing w:line="480" w:lineRule="auto"/>
      </w:pPr>
      <w:r>
        <w:tab/>
        <w:t>Sun Micro Systems bond ratings in Moody’s are BA1 that is equivalent to BB+ in S&amp;P ratings. So, the rate of yield on corporate bonds for Sun is 11.42%. Levered Beta before acquisition of Sun Micro Systems is 1.734. Levered rate of equity is 14.06% with Risk Premium of 6% and risk free rate of 3.66% (30 year Treasury bond rates for long term).  30-year long-term Treasury bond should be used over short-term Treasury bond as Oracle is acquiring Sun to achieve long-term goals.</w:t>
      </w:r>
    </w:p>
    <w:p w14:paraId="5661F42B" w14:textId="12DAE44A" w:rsidR="00384014" w:rsidRDefault="00384014" w:rsidP="00384014">
      <w:pPr>
        <w:spacing w:line="480" w:lineRule="auto"/>
      </w:pPr>
      <w:r>
        <w:tab/>
        <w:t>Initial weight of</w:t>
      </w:r>
      <w:r w:rsidR="00E6101E">
        <w:t xml:space="preserve"> debt with market cap</w:t>
      </w:r>
      <w:r>
        <w:t xml:space="preserve"> equity is 20.18%. Entity and Equity valuation should be done with internally consistent capital structure and WACC. The internally consistent weight of debt is 39.14% and WACC are 11.46%. Working capital for future projections is taken as % of sales in 2009. Working capital includes cash and cash equivalents (minimum cash is required), net receivables, Inventory, Accounts payable, other current assets and other current liabilities as they vary with sales.</w:t>
      </w:r>
    </w:p>
    <w:p w14:paraId="06E1045E" w14:textId="77777777" w:rsidR="00384014" w:rsidRDefault="00384014" w:rsidP="00384014">
      <w:pPr>
        <w:spacing w:line="480" w:lineRule="auto"/>
      </w:pPr>
      <w:r>
        <w:tab/>
        <w:t xml:space="preserve">In Entity Valuation, unlevered cash flows are discounted with internally consistent WACC to get Entity valuation of $1942 Mn. Total Equity of $5003 is calculated by subtracting </w:t>
      </w:r>
      <w:r>
        <w:lastRenderedPageBreak/>
        <w:t>Debt and adding excess cash and debt instruments. In Equity valuation, levered cash flows are discounted with Levered cost of equity to get Equity valuation without cash equivalents of $1942. Total Equity valuation is $5003 with cash equivalents and other debt instruments. As we can see, Equity valuation and Entity valuation are the same in both cases since the underlying assumptions are the same.</w:t>
      </w:r>
    </w:p>
    <w:p w14:paraId="01714F76" w14:textId="77777777" w:rsidR="00384014" w:rsidRDefault="00384014" w:rsidP="00384014">
      <w:pPr>
        <w:spacing w:line="480" w:lineRule="auto"/>
      </w:pPr>
      <w:r>
        <w:tab/>
        <w:t>Sun Micro Systems can be valued with comparable industry market valuations and can be evaluated with EV/EBITDA, EV/EBIT, PE multiple and EV/Sales multiples. In this case, average industry multiples are calculated after removing outliers and negative values in industries. As Sun Micro systems has negative EBITDA, EBIT and Earnings in 2009 the only valuation that can be used is EV/Sales and gives us a valuation of $18032 Mn at $24.42/share which is very high compared to market price.</w:t>
      </w:r>
    </w:p>
    <w:p w14:paraId="7CBC7230" w14:textId="3213817B" w:rsidR="00384014" w:rsidRPr="00384014" w:rsidRDefault="00384014" w:rsidP="00DE500E">
      <w:pPr>
        <w:spacing w:line="480" w:lineRule="auto"/>
      </w:pPr>
      <w:r>
        <w:tab/>
        <w:t>After considering various valuation techniques, I think Sun Micro is rightly priced in the market as the company is going through a rough patch. It’s core hardware sales are declining and software sales are not compensating for declining revenues in hardware, competition is high in this space and believe that market has rightly priced Sun Micro shares.</w:t>
      </w:r>
    </w:p>
    <w:p w14:paraId="7F8E7A18" w14:textId="17EEF171" w:rsidR="001A272A" w:rsidRPr="001A272A" w:rsidRDefault="001A272A" w:rsidP="00DE500E">
      <w:pPr>
        <w:spacing w:line="480" w:lineRule="auto"/>
        <w:rPr>
          <w:b/>
          <w:u w:val="single"/>
        </w:rPr>
      </w:pPr>
      <w:r w:rsidRPr="001A272A">
        <w:rPr>
          <w:b/>
          <w:u w:val="single"/>
        </w:rPr>
        <w:t>Assumptions</w:t>
      </w:r>
    </w:p>
    <w:p w14:paraId="53E05D4E" w14:textId="6DE1BC84" w:rsidR="001A272A" w:rsidRDefault="00A57A69" w:rsidP="00DE500E">
      <w:pPr>
        <w:spacing w:line="480" w:lineRule="auto"/>
      </w:pPr>
      <w:r>
        <w:object w:dxaOrig="10540" w:dyaOrig="6820" w14:anchorId="2B59D5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2.8pt;height:247.2pt" o:ole="">
            <v:imagedata r:id="rId7" o:title=""/>
          </v:shape>
          <o:OLEObject Type="Embed" ProgID="Excel.Sheet.12" ShapeID="_x0000_i1025" DrawAspect="Content" ObjectID="_1321891143" r:id="rId8"/>
        </w:object>
      </w:r>
    </w:p>
    <w:p w14:paraId="0AD7A87D" w14:textId="379E6DA0" w:rsidR="00C91BF2" w:rsidRPr="0039415B" w:rsidRDefault="001A272A" w:rsidP="00DE500E">
      <w:pPr>
        <w:spacing w:line="480" w:lineRule="auto"/>
      </w:pPr>
      <w:r>
        <w:object w:dxaOrig="7180" w:dyaOrig="8640" w14:anchorId="64D638FD">
          <v:shape id="_x0000_i1026" type="#_x0000_t75" style="width:284.8pt;height:343.2pt" o:ole="">
            <v:imagedata r:id="rId9" o:title=""/>
          </v:shape>
          <o:OLEObject Type="Embed" ProgID="Excel.Sheet.12" ShapeID="_x0000_i1026" DrawAspect="Content" ObjectID="_1321891144" r:id="rId10"/>
        </w:object>
      </w:r>
    </w:p>
    <w:p w14:paraId="2599744B" w14:textId="269CDD7E" w:rsidR="00355659" w:rsidRPr="001A272A" w:rsidRDefault="001A272A" w:rsidP="00DE500E">
      <w:pPr>
        <w:spacing w:line="480" w:lineRule="auto"/>
        <w:rPr>
          <w:b/>
          <w:u w:val="single"/>
        </w:rPr>
      </w:pPr>
      <w:r w:rsidRPr="001A272A">
        <w:rPr>
          <w:b/>
          <w:u w:val="single"/>
        </w:rPr>
        <w:t>Income Statement</w:t>
      </w:r>
    </w:p>
    <w:p w14:paraId="0B0F207D" w14:textId="781E35BD" w:rsidR="00355659" w:rsidRDefault="00CB5D8A" w:rsidP="00DE500E">
      <w:pPr>
        <w:spacing w:line="480" w:lineRule="auto"/>
      </w:pPr>
      <w:r>
        <w:object w:dxaOrig="17500" w:dyaOrig="9100" w14:anchorId="74519AF1">
          <v:shape id="_x0000_i1027" type="#_x0000_t75" style="width:512.8pt;height:227.2pt" o:ole="">
            <v:imagedata r:id="rId11" o:title=""/>
          </v:shape>
          <o:OLEObject Type="Embed" ProgID="Excel.Sheet.12" ShapeID="_x0000_i1027" DrawAspect="Content" ObjectID="_1321891145" r:id="rId12"/>
        </w:object>
      </w:r>
    </w:p>
    <w:p w14:paraId="315B0B99" w14:textId="77777777" w:rsidR="00384014" w:rsidRDefault="00384014" w:rsidP="00DE500E">
      <w:pPr>
        <w:spacing w:line="480" w:lineRule="auto"/>
      </w:pPr>
    </w:p>
    <w:p w14:paraId="0CD8C41A" w14:textId="77777777" w:rsidR="00384014" w:rsidRDefault="00384014" w:rsidP="00DE500E">
      <w:pPr>
        <w:spacing w:line="480" w:lineRule="auto"/>
      </w:pPr>
    </w:p>
    <w:p w14:paraId="72E7D2EA" w14:textId="77777777" w:rsidR="00384014" w:rsidRPr="0017448F" w:rsidRDefault="00384014" w:rsidP="00DE500E">
      <w:pPr>
        <w:spacing w:line="480" w:lineRule="auto"/>
        <w:rPr>
          <w:b/>
          <w:u w:val="single"/>
        </w:rPr>
      </w:pPr>
    </w:p>
    <w:p w14:paraId="19DF1F64" w14:textId="17BF738B" w:rsidR="0017448F" w:rsidRPr="0017448F" w:rsidRDefault="0017448F" w:rsidP="00DE500E">
      <w:pPr>
        <w:spacing w:line="480" w:lineRule="auto"/>
        <w:rPr>
          <w:b/>
          <w:u w:val="single"/>
        </w:rPr>
      </w:pPr>
      <w:r w:rsidRPr="0017448F">
        <w:rPr>
          <w:b/>
          <w:u w:val="single"/>
        </w:rPr>
        <w:lastRenderedPageBreak/>
        <w:t>Entity Valuation</w:t>
      </w:r>
    </w:p>
    <w:p w14:paraId="5B8BDEDE" w14:textId="344CF1BF" w:rsidR="0017448F" w:rsidRDefault="0062748A" w:rsidP="0017448F">
      <w:pPr>
        <w:spacing w:line="480" w:lineRule="auto"/>
      </w:pPr>
      <w:r>
        <w:object w:dxaOrig="18880" w:dyaOrig="3360" w14:anchorId="7732A79C">
          <v:shape id="_x0000_i1028" type="#_x0000_t75" style="width:520.8pt;height:137.6pt" o:ole="">
            <v:imagedata r:id="rId13" o:title=""/>
          </v:shape>
          <o:OLEObject Type="Embed" ProgID="Excel.Sheet.12" ShapeID="_x0000_i1028" DrawAspect="Content" ObjectID="_1321891146" r:id="rId14"/>
        </w:object>
      </w:r>
    </w:p>
    <w:p w14:paraId="4A8EA06B" w14:textId="1FF1D0EE" w:rsidR="00917716" w:rsidRPr="0039415B" w:rsidRDefault="0017448F" w:rsidP="0017448F">
      <w:pPr>
        <w:spacing w:line="480" w:lineRule="auto"/>
      </w:pPr>
      <w:r>
        <w:t xml:space="preserve"> </w:t>
      </w:r>
      <w:r w:rsidR="009803B8">
        <w:object w:dxaOrig="8480" w:dyaOrig="3340" w14:anchorId="29A5D85A">
          <v:shape id="_x0000_i1029" type="#_x0000_t75" style="width:5in;height:141.6pt" o:ole="">
            <v:imagedata r:id="rId15" o:title=""/>
          </v:shape>
          <o:OLEObject Type="Embed" ProgID="Excel.Sheet.12" ShapeID="_x0000_i1029" DrawAspect="Content" ObjectID="_1321891147" r:id="rId16"/>
        </w:object>
      </w:r>
    </w:p>
    <w:p w14:paraId="5E5E1A93" w14:textId="4050FE4B" w:rsidR="00355659" w:rsidRPr="00F84BDE" w:rsidRDefault="00F84BDE" w:rsidP="00DE500E">
      <w:pPr>
        <w:spacing w:line="480" w:lineRule="auto"/>
        <w:rPr>
          <w:b/>
          <w:u w:val="single"/>
        </w:rPr>
      </w:pPr>
      <w:r w:rsidRPr="00F84BDE">
        <w:rPr>
          <w:b/>
          <w:u w:val="single"/>
        </w:rPr>
        <w:t>Equity Valuation</w:t>
      </w:r>
    </w:p>
    <w:p w14:paraId="65A897ED" w14:textId="77777777" w:rsidR="00162153" w:rsidRDefault="0062748A" w:rsidP="00DE500E">
      <w:pPr>
        <w:spacing w:line="480" w:lineRule="auto"/>
      </w:pPr>
      <w:r>
        <w:object w:dxaOrig="18880" w:dyaOrig="3940" w14:anchorId="79AF1BAD">
          <v:shape id="_x0000_i1030" type="#_x0000_t75" style="width:520.8pt;height:164pt" o:ole="">
            <v:imagedata r:id="rId17" o:title=""/>
          </v:shape>
          <o:OLEObject Type="Embed" ProgID="Excel.Sheet.12" ShapeID="_x0000_i1030" DrawAspect="Content" ObjectID="_1321891148" r:id="rId18"/>
        </w:object>
      </w:r>
    </w:p>
    <w:p w14:paraId="5B2E57F6" w14:textId="38B25E9E" w:rsidR="00355659" w:rsidRDefault="0062748A" w:rsidP="00DE500E">
      <w:pPr>
        <w:spacing w:line="480" w:lineRule="auto"/>
      </w:pPr>
      <w:r>
        <w:object w:dxaOrig="8480" w:dyaOrig="2720" w14:anchorId="538F9360">
          <v:shape id="_x0000_i1031" type="#_x0000_t75" style="width:387.2pt;height:124pt" o:ole="">
            <v:imagedata r:id="rId19" o:title=""/>
          </v:shape>
          <o:OLEObject Type="Embed" ProgID="Excel.Sheet.12" ShapeID="_x0000_i1031" DrawAspect="Content" ObjectID="_1321891149" r:id="rId20"/>
        </w:object>
      </w:r>
    </w:p>
    <w:p w14:paraId="4293410F" w14:textId="77777777" w:rsidR="00384014" w:rsidRDefault="00384014" w:rsidP="00DE500E">
      <w:pPr>
        <w:spacing w:line="480" w:lineRule="auto"/>
      </w:pPr>
    </w:p>
    <w:p w14:paraId="2633C593" w14:textId="53678469" w:rsidR="00384014" w:rsidRPr="00384014" w:rsidRDefault="00384014" w:rsidP="00DE500E">
      <w:pPr>
        <w:spacing w:line="480" w:lineRule="auto"/>
        <w:rPr>
          <w:b/>
          <w:u w:val="single"/>
        </w:rPr>
      </w:pPr>
      <w:r w:rsidRPr="00384014">
        <w:rPr>
          <w:b/>
          <w:u w:val="single"/>
        </w:rPr>
        <w:lastRenderedPageBreak/>
        <w:t>Industry Comparable</w:t>
      </w:r>
    </w:p>
    <w:p w14:paraId="7E3E481B" w14:textId="77777777" w:rsidR="00087B66" w:rsidRDefault="00087B66" w:rsidP="00DE500E">
      <w:pPr>
        <w:spacing w:line="480" w:lineRule="auto"/>
      </w:pPr>
    </w:p>
    <w:p w14:paraId="20A9E67A" w14:textId="7A45A42F" w:rsidR="00162153" w:rsidRDefault="000655FB" w:rsidP="00DE500E">
      <w:pPr>
        <w:spacing w:line="480" w:lineRule="auto"/>
        <w:rPr>
          <w:b/>
          <w:u w:val="single"/>
        </w:rPr>
      </w:pPr>
      <w:r>
        <w:rPr>
          <w:b/>
          <w:u w:val="single"/>
        </w:rPr>
        <w:object w:dxaOrig="32500" w:dyaOrig="7540" w14:anchorId="3EFCB653">
          <v:shape id="_x0000_i1046" type="#_x0000_t75" style="width:554.4pt;height:268.8pt" o:ole="">
            <v:imagedata r:id="rId21" o:title=""/>
          </v:shape>
          <o:OLEObject Type="Embed" ProgID="Excel.Sheet.12" ShapeID="_x0000_i1046" DrawAspect="Content" ObjectID="_1321891150" r:id="rId22"/>
        </w:object>
      </w:r>
    </w:p>
    <w:p w14:paraId="5CB89131" w14:textId="4115B2FB" w:rsidR="00EC5D2D" w:rsidRPr="00977BD5" w:rsidRDefault="00BC74F1" w:rsidP="00DE500E">
      <w:pPr>
        <w:spacing w:line="480" w:lineRule="auto"/>
        <w:rPr>
          <w:b/>
          <w:u w:val="single"/>
        </w:rPr>
      </w:pPr>
      <w:r>
        <w:rPr>
          <w:b/>
          <w:u w:val="single"/>
        </w:rPr>
        <w:object w:dxaOrig="9860" w:dyaOrig="1860" w14:anchorId="38FE841E">
          <v:shape id="_x0000_i1033" type="#_x0000_t75" style="width:387.2pt;height:72.8pt" o:ole="">
            <v:imagedata r:id="rId23" o:title=""/>
          </v:shape>
          <o:OLEObject Type="Embed" ProgID="Excel.Sheet.12" ShapeID="_x0000_i1033" DrawAspect="Content" ObjectID="_1321891151" r:id="rId24"/>
        </w:object>
      </w:r>
    </w:p>
    <w:p w14:paraId="236F37CB" w14:textId="77777777" w:rsidR="00EC561F" w:rsidRDefault="00EC561F" w:rsidP="00DE500E">
      <w:pPr>
        <w:spacing w:line="480" w:lineRule="auto"/>
        <w:rPr>
          <w:b/>
          <w:u w:val="single"/>
        </w:rPr>
      </w:pPr>
    </w:p>
    <w:p w14:paraId="7CBC3A70" w14:textId="77777777" w:rsidR="00EC561F" w:rsidRDefault="00EC561F" w:rsidP="00DE500E">
      <w:pPr>
        <w:spacing w:line="480" w:lineRule="auto"/>
        <w:rPr>
          <w:b/>
          <w:u w:val="single"/>
        </w:rPr>
      </w:pPr>
    </w:p>
    <w:p w14:paraId="5C1AD6C4" w14:textId="77777777" w:rsidR="00EC561F" w:rsidRDefault="00EC561F" w:rsidP="00DE500E">
      <w:pPr>
        <w:spacing w:line="480" w:lineRule="auto"/>
        <w:rPr>
          <w:b/>
          <w:u w:val="single"/>
        </w:rPr>
      </w:pPr>
    </w:p>
    <w:p w14:paraId="0CAE159E" w14:textId="77777777" w:rsidR="00EC561F" w:rsidRDefault="00EC561F" w:rsidP="00DE500E">
      <w:pPr>
        <w:spacing w:line="480" w:lineRule="auto"/>
        <w:rPr>
          <w:b/>
          <w:u w:val="single"/>
        </w:rPr>
      </w:pPr>
    </w:p>
    <w:p w14:paraId="0D7FFDE8" w14:textId="77777777" w:rsidR="00EC561F" w:rsidRDefault="00EC561F" w:rsidP="00DE500E">
      <w:pPr>
        <w:spacing w:line="480" w:lineRule="auto"/>
        <w:rPr>
          <w:b/>
          <w:u w:val="single"/>
        </w:rPr>
      </w:pPr>
    </w:p>
    <w:p w14:paraId="023C66E8" w14:textId="77777777" w:rsidR="00EC561F" w:rsidRDefault="00EC561F" w:rsidP="00DE500E">
      <w:pPr>
        <w:spacing w:line="480" w:lineRule="auto"/>
        <w:rPr>
          <w:b/>
          <w:u w:val="single"/>
        </w:rPr>
      </w:pPr>
    </w:p>
    <w:p w14:paraId="6244798B" w14:textId="77777777" w:rsidR="00EC561F" w:rsidRDefault="00EC561F" w:rsidP="00DE500E">
      <w:pPr>
        <w:spacing w:line="480" w:lineRule="auto"/>
        <w:rPr>
          <w:b/>
          <w:u w:val="single"/>
        </w:rPr>
      </w:pPr>
    </w:p>
    <w:p w14:paraId="77F7AA3A" w14:textId="77777777" w:rsidR="00EC561F" w:rsidRDefault="00EC561F" w:rsidP="00DE500E">
      <w:pPr>
        <w:spacing w:line="480" w:lineRule="auto"/>
        <w:rPr>
          <w:b/>
          <w:u w:val="single"/>
        </w:rPr>
      </w:pPr>
    </w:p>
    <w:p w14:paraId="734A7704" w14:textId="77777777" w:rsidR="00EC561F" w:rsidRDefault="00EC561F" w:rsidP="00DE500E">
      <w:pPr>
        <w:spacing w:line="480" w:lineRule="auto"/>
        <w:rPr>
          <w:b/>
          <w:u w:val="single"/>
        </w:rPr>
      </w:pPr>
    </w:p>
    <w:p w14:paraId="0AC4CFB7" w14:textId="77777777" w:rsidR="00EC561F" w:rsidRDefault="00EC561F" w:rsidP="00DE500E">
      <w:pPr>
        <w:spacing w:line="480" w:lineRule="auto"/>
        <w:rPr>
          <w:b/>
          <w:u w:val="single"/>
        </w:rPr>
      </w:pPr>
    </w:p>
    <w:p w14:paraId="1BF15B0D" w14:textId="3C924DE0" w:rsidR="00355659" w:rsidRDefault="00977BD5" w:rsidP="00DE500E">
      <w:pPr>
        <w:spacing w:line="480" w:lineRule="auto"/>
        <w:rPr>
          <w:b/>
          <w:u w:val="single"/>
        </w:rPr>
      </w:pPr>
      <w:r w:rsidRPr="00977BD5">
        <w:rPr>
          <w:b/>
          <w:u w:val="single"/>
        </w:rPr>
        <w:lastRenderedPageBreak/>
        <w:t>Solution 2:</w:t>
      </w:r>
    </w:p>
    <w:p w14:paraId="3C4736AD" w14:textId="07C3E6D9" w:rsidR="00F63195" w:rsidRDefault="000655FB" w:rsidP="00F63195">
      <w:pPr>
        <w:spacing w:line="480" w:lineRule="auto"/>
      </w:pPr>
      <w:r>
        <w:tab/>
      </w:r>
      <w:r w:rsidR="00F63195">
        <w:t>Oracle is acquiring Sun in a leveraged transaction with $2 Billion in debt at 14% interest rate for the first 3 years and will refinance the remaining $500 Million in debt at 10%. As we see the capital structure is changing constantly every year after 2009 as the $500 Mn debt is paid back. So, APV would be the ideal valuation technique in such a scenario, as total valuation of the company is unlevered valuation of the company and value from the tax shields of special and ongoing debt.  Cost of unlevered equity is obtained from getting the unlevered beta with tax and without tax. In this scenario, with</w:t>
      </w:r>
      <w:r w:rsidR="00E45116">
        <w:t xml:space="preserve"> tax unlevered Beta and </w:t>
      </w:r>
      <w:r w:rsidR="00F63195">
        <w:t xml:space="preserve">unlevered cost of equity is 12.6%. </w:t>
      </w:r>
    </w:p>
    <w:p w14:paraId="13094E5C" w14:textId="44B4BC49" w:rsidR="00F63195" w:rsidRDefault="00F63195" w:rsidP="00F63195">
      <w:pPr>
        <w:spacing w:line="480" w:lineRule="auto"/>
      </w:pPr>
      <w:r>
        <w:tab/>
        <w:t xml:space="preserve">Oracle can achieve a lot of synergies from acquiring Sun Micro and need to evaluate the business with those synergies and integration costs in valuing standalone </w:t>
      </w:r>
      <w:r w:rsidR="00CD2544">
        <w:t xml:space="preserve">along </w:t>
      </w:r>
      <w:r>
        <w:t xml:space="preserve">with synergies scenario. Sun loses about $45 Mn in 2009 because of lost customers, integration costs of $1100 Million needs to be invested over next two years with $750 Million in 2010 and $350 in 2011. The synergies from integration would be evident gradually </w:t>
      </w:r>
      <w:r w:rsidR="00E32C25">
        <w:t xml:space="preserve">with increase in operating profits of </w:t>
      </w:r>
      <w:r>
        <w:t>$300, $600 and $900 in the next three years and staying steady at $900 after 2012. With all the other assumptions from previous problem, valuation of unlevered firm is $6390 Mn after discounting with unlevered cost of equity of 12.6%.</w:t>
      </w:r>
    </w:p>
    <w:p w14:paraId="670FEC25" w14:textId="77777777" w:rsidR="00F63195" w:rsidRDefault="00F63195" w:rsidP="00F63195">
      <w:pPr>
        <w:spacing w:line="480" w:lineRule="auto"/>
      </w:pPr>
      <w:r>
        <w:tab/>
        <w:t xml:space="preserve">Sun is replacing its existing debt with $2000 Mn debt @14%. Tax shields from this new special debt are shown for the next three years and for the ongoing debt of $500 Mn @10%. The value of tax shields for next three years is $176 Mn and $164 Mn for ongoing debt, which are discounted at the corresponding rate of debt. </w:t>
      </w:r>
    </w:p>
    <w:p w14:paraId="7240569C" w14:textId="2B11CCB8" w:rsidR="00F63195" w:rsidRPr="00CD27FA" w:rsidRDefault="00F63195" w:rsidP="00F63195">
      <w:pPr>
        <w:spacing w:line="480" w:lineRule="auto"/>
      </w:pPr>
      <w:r>
        <w:tab/>
        <w:t>The total valuation of the levered firm with interest shields is $6730(Entity V</w:t>
      </w:r>
      <w:r w:rsidR="00C662B9">
        <w:t xml:space="preserve">alue). Subtracting the new debt, adjusting </w:t>
      </w:r>
      <w:r w:rsidR="00832B90">
        <w:t xml:space="preserve">for </w:t>
      </w:r>
      <w:r w:rsidR="00C662B9">
        <w:t xml:space="preserve">old debt </w:t>
      </w:r>
      <w:r>
        <w:t>and adding excess cash gives us equity value of $8542Mn. So, Sun shares are worth $11.57/share after taking into account synergies from acquisition.</w:t>
      </w:r>
      <w:r w:rsidR="0041584B">
        <w:t xml:space="preserve"> </w:t>
      </w:r>
      <w:r>
        <w:t>Oracle can pay a maximum of $11.57/Share for acquiring Sun at an equity valuation of $</w:t>
      </w:r>
      <w:r w:rsidR="000F03FE">
        <w:t>8547Mn if they are to make any</w:t>
      </w:r>
      <w:r>
        <w:t xml:space="preserve"> </w:t>
      </w:r>
      <w:r w:rsidR="00BD2C92">
        <w:t xml:space="preserve">good </w:t>
      </w:r>
      <w:r>
        <w:t>ROI from this investment.</w:t>
      </w:r>
    </w:p>
    <w:p w14:paraId="3B614B50" w14:textId="77777777" w:rsidR="00EC561F" w:rsidRPr="00977BD5" w:rsidRDefault="00EC561F" w:rsidP="00DE500E">
      <w:pPr>
        <w:spacing w:line="480" w:lineRule="auto"/>
        <w:rPr>
          <w:b/>
          <w:u w:val="single"/>
        </w:rPr>
      </w:pPr>
    </w:p>
    <w:p w14:paraId="22FF0896" w14:textId="66C1F746" w:rsidR="00355659" w:rsidRDefault="00B465AD" w:rsidP="00B465AD">
      <w:pPr>
        <w:spacing w:line="480" w:lineRule="auto"/>
      </w:pPr>
      <w:r>
        <w:object w:dxaOrig="19460" w:dyaOrig="10340" w14:anchorId="614313E3">
          <v:shape id="_x0000_i1034" type="#_x0000_t75" style="width:530.4pt;height:436.8pt" o:ole="">
            <v:imagedata r:id="rId25" o:title=""/>
          </v:shape>
          <o:OLEObject Type="Embed" ProgID="Excel.Sheet.12" ShapeID="_x0000_i1034" DrawAspect="Content" ObjectID="_1321891152" r:id="rId26"/>
        </w:object>
      </w:r>
    </w:p>
    <w:p w14:paraId="0940FEA3" w14:textId="1D756DE3" w:rsidR="00B465AD" w:rsidRDefault="00B465AD" w:rsidP="00B465AD">
      <w:pPr>
        <w:spacing w:line="480" w:lineRule="auto"/>
        <w:rPr>
          <w:b/>
          <w:u w:val="single"/>
        </w:rPr>
      </w:pPr>
      <w:r w:rsidRPr="00B465AD">
        <w:rPr>
          <w:b/>
          <w:u w:val="single"/>
        </w:rPr>
        <w:t>APV valuation</w:t>
      </w:r>
    </w:p>
    <w:p w14:paraId="5DD0F97B" w14:textId="34FFBA60" w:rsidR="001D6420" w:rsidRPr="00B465AD" w:rsidRDefault="001D6420" w:rsidP="00B465AD">
      <w:pPr>
        <w:spacing w:line="480" w:lineRule="auto"/>
        <w:rPr>
          <w:b/>
          <w:u w:val="single"/>
        </w:rPr>
      </w:pPr>
      <w:r>
        <w:rPr>
          <w:b/>
          <w:u w:val="single"/>
        </w:rPr>
        <w:t>Unlevered Firm</w:t>
      </w:r>
    </w:p>
    <w:p w14:paraId="2CF93690" w14:textId="2DD8F7DB" w:rsidR="00355659" w:rsidRPr="0039415B" w:rsidRDefault="009627B8" w:rsidP="00DE500E">
      <w:pPr>
        <w:spacing w:line="480" w:lineRule="auto"/>
      </w:pPr>
      <w:r>
        <w:object w:dxaOrig="19460" w:dyaOrig="4580" w14:anchorId="3EB653A3">
          <v:shape id="_x0000_i1035" type="#_x0000_t75" style="width:512.8pt;height:160pt" o:ole="">
            <v:imagedata r:id="rId27" o:title=""/>
          </v:shape>
          <o:OLEObject Type="Embed" ProgID="Excel.Sheet.12" ShapeID="_x0000_i1035" DrawAspect="Content" ObjectID="_1321891153" r:id="rId28"/>
        </w:object>
      </w:r>
    </w:p>
    <w:p w14:paraId="6FAF0482" w14:textId="77777777" w:rsidR="00355659" w:rsidRPr="0039415B" w:rsidRDefault="00355659" w:rsidP="00DE500E">
      <w:pPr>
        <w:spacing w:line="480" w:lineRule="auto"/>
      </w:pPr>
    </w:p>
    <w:p w14:paraId="284CD308" w14:textId="519DD4C8" w:rsidR="00355659" w:rsidRPr="001D6420" w:rsidRDefault="001D6420" w:rsidP="00DE500E">
      <w:pPr>
        <w:spacing w:line="480" w:lineRule="auto"/>
        <w:rPr>
          <w:b/>
          <w:u w:val="single"/>
        </w:rPr>
      </w:pPr>
      <w:r w:rsidRPr="001D6420">
        <w:rPr>
          <w:b/>
          <w:u w:val="single"/>
        </w:rPr>
        <w:t>Tax Shields</w:t>
      </w:r>
    </w:p>
    <w:p w14:paraId="06D4B4A2" w14:textId="2C0ED380" w:rsidR="001D6420" w:rsidRPr="0039415B" w:rsidRDefault="005C2F8E" w:rsidP="001D6420">
      <w:pPr>
        <w:spacing w:line="480" w:lineRule="auto"/>
      </w:pPr>
      <w:r>
        <w:object w:dxaOrig="18800" w:dyaOrig="4840" w14:anchorId="2A9827FC">
          <v:shape id="_x0000_i1036" type="#_x0000_t75" style="width:525.6pt;height:181.6pt" o:ole="">
            <v:imagedata r:id="rId29" o:title=""/>
          </v:shape>
          <o:OLEObject Type="Embed" ProgID="Excel.Sheet.12" ShapeID="_x0000_i1036" DrawAspect="Content" ObjectID="_1321891154" r:id="rId30"/>
        </w:object>
      </w:r>
    </w:p>
    <w:p w14:paraId="4DD3FBAE" w14:textId="072A53FE" w:rsidR="00355659" w:rsidRDefault="006B409E" w:rsidP="00DE500E">
      <w:pPr>
        <w:spacing w:line="480" w:lineRule="auto"/>
      </w:pPr>
      <w:r>
        <w:rPr>
          <w:noProof/>
        </w:rPr>
        <w:pict w14:anchorId="25B80AFC">
          <v:shape id="_x0000_s1027" type="#_x0000_t75" style="position:absolute;margin-left:0;margin-top:-.05pt;width:396pt;height:129.6pt;z-index:251659264;mso-position-horizontal:left;mso-position-horizontal-relative:text;mso-position-vertical-relative:text">
            <v:imagedata r:id="rId31" o:title=""/>
            <w10:wrap type="square" side="right"/>
          </v:shape>
          <o:OLEObject Type="Embed" ProgID="Excel.Sheet.12" ShapeID="_x0000_s1027" DrawAspect="Content" ObjectID="_1321891159" r:id="rId32"/>
        </w:pict>
      </w:r>
      <w:r w:rsidR="00931182">
        <w:br w:type="textWrapping" w:clear="all"/>
      </w:r>
    </w:p>
    <w:p w14:paraId="5DD4B02E" w14:textId="77777777" w:rsidR="00CE4C3F" w:rsidRDefault="00CE4C3F" w:rsidP="00DE500E">
      <w:pPr>
        <w:spacing w:line="480" w:lineRule="auto"/>
        <w:rPr>
          <w:b/>
          <w:u w:val="single"/>
        </w:rPr>
      </w:pPr>
    </w:p>
    <w:p w14:paraId="4377B7FE" w14:textId="77777777" w:rsidR="00CE4C3F" w:rsidRDefault="00CE4C3F" w:rsidP="00DE500E">
      <w:pPr>
        <w:spacing w:line="480" w:lineRule="auto"/>
        <w:rPr>
          <w:b/>
          <w:u w:val="single"/>
        </w:rPr>
      </w:pPr>
    </w:p>
    <w:p w14:paraId="62DA5899" w14:textId="77777777" w:rsidR="00CE4C3F" w:rsidRDefault="00CE4C3F" w:rsidP="00DE500E">
      <w:pPr>
        <w:spacing w:line="480" w:lineRule="auto"/>
        <w:rPr>
          <w:b/>
          <w:u w:val="single"/>
        </w:rPr>
      </w:pPr>
    </w:p>
    <w:p w14:paraId="6D85D0CD" w14:textId="77777777" w:rsidR="00CE4C3F" w:rsidRDefault="00CE4C3F" w:rsidP="00DE500E">
      <w:pPr>
        <w:spacing w:line="480" w:lineRule="auto"/>
        <w:rPr>
          <w:b/>
          <w:u w:val="single"/>
        </w:rPr>
      </w:pPr>
    </w:p>
    <w:p w14:paraId="41A845E7" w14:textId="77777777" w:rsidR="00CE4C3F" w:rsidRDefault="00CE4C3F" w:rsidP="00DE500E">
      <w:pPr>
        <w:spacing w:line="480" w:lineRule="auto"/>
        <w:rPr>
          <w:b/>
          <w:u w:val="single"/>
        </w:rPr>
      </w:pPr>
    </w:p>
    <w:p w14:paraId="6F8E8B74" w14:textId="77777777" w:rsidR="00CE4C3F" w:rsidRDefault="00CE4C3F" w:rsidP="00DE500E">
      <w:pPr>
        <w:spacing w:line="480" w:lineRule="auto"/>
        <w:rPr>
          <w:b/>
          <w:u w:val="single"/>
        </w:rPr>
      </w:pPr>
    </w:p>
    <w:p w14:paraId="4A88C77E" w14:textId="77777777" w:rsidR="00CE4C3F" w:rsidRDefault="00CE4C3F" w:rsidP="00DE500E">
      <w:pPr>
        <w:spacing w:line="480" w:lineRule="auto"/>
        <w:rPr>
          <w:b/>
          <w:u w:val="single"/>
        </w:rPr>
      </w:pPr>
    </w:p>
    <w:p w14:paraId="7C5A0B68" w14:textId="77777777" w:rsidR="00CE4C3F" w:rsidRDefault="00CE4C3F" w:rsidP="00DE500E">
      <w:pPr>
        <w:spacing w:line="480" w:lineRule="auto"/>
        <w:rPr>
          <w:b/>
          <w:u w:val="single"/>
        </w:rPr>
      </w:pPr>
    </w:p>
    <w:p w14:paraId="25747E6F" w14:textId="77777777" w:rsidR="00CE4C3F" w:rsidRDefault="00CE4C3F" w:rsidP="00DE500E">
      <w:pPr>
        <w:spacing w:line="480" w:lineRule="auto"/>
        <w:rPr>
          <w:b/>
          <w:u w:val="single"/>
        </w:rPr>
      </w:pPr>
    </w:p>
    <w:p w14:paraId="0123204D" w14:textId="77777777" w:rsidR="00CE4C3F" w:rsidRDefault="00CE4C3F" w:rsidP="00DE500E">
      <w:pPr>
        <w:spacing w:line="480" w:lineRule="auto"/>
        <w:rPr>
          <w:b/>
          <w:u w:val="single"/>
        </w:rPr>
      </w:pPr>
    </w:p>
    <w:p w14:paraId="3B9AD163" w14:textId="77777777" w:rsidR="00CE4C3F" w:rsidRDefault="00CE4C3F" w:rsidP="00DE500E">
      <w:pPr>
        <w:spacing w:line="480" w:lineRule="auto"/>
        <w:rPr>
          <w:b/>
          <w:u w:val="single"/>
        </w:rPr>
      </w:pPr>
    </w:p>
    <w:p w14:paraId="35B0A994" w14:textId="187A7EED" w:rsidR="00931182" w:rsidRDefault="00A87B6B" w:rsidP="00DE500E">
      <w:pPr>
        <w:spacing w:line="480" w:lineRule="auto"/>
        <w:rPr>
          <w:b/>
          <w:u w:val="single"/>
        </w:rPr>
      </w:pPr>
      <w:r w:rsidRPr="00A87B6B">
        <w:rPr>
          <w:b/>
          <w:u w:val="single"/>
        </w:rPr>
        <w:lastRenderedPageBreak/>
        <w:t>Solution 3:</w:t>
      </w:r>
    </w:p>
    <w:p w14:paraId="379483D6" w14:textId="0394B5F3" w:rsidR="001D784E" w:rsidRDefault="001D784E" w:rsidP="001D784E">
      <w:pPr>
        <w:spacing w:line="480" w:lineRule="auto"/>
      </w:pPr>
      <w:r>
        <w:tab/>
        <w:t>Oracle and Sun plan to develop products that use both Sun and Oracle technologies. Oracle would like to evaluate the opportunity with Exadata machines, which can handle both online transactions and data warehousing. But, this opportunity contains a lot of risks as they are contingent on the suc</w:t>
      </w:r>
      <w:r w:rsidR="003B5961">
        <w:t xml:space="preserve">cess of the integration and </w:t>
      </w:r>
      <w:r>
        <w:t xml:space="preserve">start with development of its first Exadata machine in June 2011, 2 years after the acquisition. </w:t>
      </w:r>
    </w:p>
    <w:p w14:paraId="57928474" w14:textId="6E26E343" w:rsidR="001D784E" w:rsidRDefault="001D784E" w:rsidP="001D784E">
      <w:pPr>
        <w:spacing w:line="480" w:lineRule="auto"/>
      </w:pPr>
      <w:r>
        <w:tab/>
        <w:t>This opportunity can be excised as a real option in 2011 since Oracle has a right but not an obligation to invest $5M in R&amp;D costs in 2011 and later $25M in capital expenditure. But, capital expenditure will be done if the R&amp;D is done in 2011. So, the exercise price would be sum of $5M and $25M discounted at the cost of capital of 12%</w:t>
      </w:r>
      <w:r w:rsidR="00FF0852">
        <w:t xml:space="preserve"> from 2012 to 2011</w:t>
      </w:r>
      <w:r>
        <w:t xml:space="preserve">. The exercise price is $27.32M and time to expiration is 2 years from now. </w:t>
      </w:r>
    </w:p>
    <w:p w14:paraId="2AF03C92" w14:textId="257EEDF3" w:rsidR="001D784E" w:rsidRDefault="001D784E" w:rsidP="001D784E">
      <w:pPr>
        <w:spacing w:line="480" w:lineRule="auto"/>
      </w:pPr>
      <w:r>
        <w:tab/>
        <w:t>Revenues are provided for product after capital investment. Operating expenses and COGS are 55% of sales and perpetual growth rate is 1%. The underlying asset value can be calculated from the present value of cash inflows from the opportunity in 2013. NPV of future cash flows from Exadata is $31.27M. We will use the risk free rate for the opportunity as 1.22% since the option will expire in 2 years and can use the 3-year treasury rate from exhibits. Even using 30-year Treasu</w:t>
      </w:r>
      <w:r w:rsidR="00394C34">
        <w:t>ry bond yield would not make huge</w:t>
      </w:r>
      <w:r>
        <w:t xml:space="preserve"> difference in this case.</w:t>
      </w:r>
    </w:p>
    <w:p w14:paraId="5D506C21" w14:textId="77777777" w:rsidR="001D784E" w:rsidRDefault="001D784E" w:rsidP="001D784E">
      <w:pPr>
        <w:spacing w:line="480" w:lineRule="auto"/>
      </w:pPr>
      <w:r>
        <w:tab/>
        <w:t>The volatility for the option can be calculated by getting the standard deviation of the rate of return from running risk analysis (i.e.1/T * ln (V</w:t>
      </w:r>
      <w:r w:rsidRPr="006326EB">
        <w:rPr>
          <w:vertAlign w:val="subscript"/>
        </w:rPr>
        <w:t xml:space="preserve">t </w:t>
      </w:r>
      <w:r>
        <w:t>/V</w:t>
      </w:r>
      <w:r w:rsidRPr="006326EB">
        <w:rPr>
          <w:vertAlign w:val="subscript"/>
        </w:rPr>
        <w:t>0</w:t>
      </w:r>
      <w:r>
        <w:t xml:space="preserve">). Input distributions for revenues are normal distributions with standard deviation of 20. We can then calculate the NPV in 2009 and hardcode the value to run the risk analysis with NPV in 2010. The risk analysis shows that the standard deviation is 27.51%. </w:t>
      </w:r>
    </w:p>
    <w:p w14:paraId="71510594" w14:textId="6AF377AD" w:rsidR="001D784E" w:rsidRDefault="001D784E" w:rsidP="001D784E">
      <w:pPr>
        <w:spacing w:line="480" w:lineRule="auto"/>
      </w:pPr>
      <w:r>
        <w:tab/>
        <w:t>Black Scholes option gives the valuation for the opportunity at $7.14M. So, Oracle can value this opportunity as a right but not obligation to invest in 2 years time</w:t>
      </w:r>
      <w:r w:rsidR="006E3F25">
        <w:t xml:space="preserve"> which gives </w:t>
      </w:r>
      <w:r w:rsidR="00710174">
        <w:t xml:space="preserve">managerial </w:t>
      </w:r>
      <w:r w:rsidR="006E3F25">
        <w:t>flexibility over normal DCF Valuation</w:t>
      </w:r>
      <w:r>
        <w:t>.</w:t>
      </w:r>
    </w:p>
    <w:p w14:paraId="69A9F122" w14:textId="77777777" w:rsidR="001D784E" w:rsidRPr="00A87B6B" w:rsidRDefault="001D784E" w:rsidP="00DE500E">
      <w:pPr>
        <w:spacing w:line="480" w:lineRule="auto"/>
        <w:rPr>
          <w:b/>
          <w:u w:val="single"/>
        </w:rPr>
      </w:pPr>
    </w:p>
    <w:p w14:paraId="586B1BE6" w14:textId="7CCDAC1C" w:rsidR="00355659" w:rsidRPr="0039415B" w:rsidRDefault="00F3500E" w:rsidP="00DE500E">
      <w:pPr>
        <w:spacing w:line="480" w:lineRule="auto"/>
      </w:pPr>
      <w:r>
        <w:object w:dxaOrig="22100" w:dyaOrig="10860" w14:anchorId="14A3F1C6">
          <v:shape id="_x0000_i1038" type="#_x0000_t75" style="width:520.8pt;height:384pt" o:ole="">
            <v:imagedata r:id="rId33" o:title=""/>
          </v:shape>
          <o:OLEObject Type="Embed" ProgID="Excel.Sheet.12" ShapeID="_x0000_i1038" DrawAspect="Content" ObjectID="_1321891155" r:id="rId34"/>
        </w:object>
      </w:r>
    </w:p>
    <w:p w14:paraId="201A30A8" w14:textId="0C11EE18" w:rsidR="00355659" w:rsidRDefault="00F3500E" w:rsidP="00DE500E">
      <w:pPr>
        <w:spacing w:line="480" w:lineRule="auto"/>
      </w:pPr>
      <w:r>
        <w:object w:dxaOrig="15880" w:dyaOrig="9580" w14:anchorId="2E9CAF83">
          <v:shape id="_x0000_i1039" type="#_x0000_t75" style="width:497.6pt;height:307.2pt" o:ole="">
            <v:imagedata r:id="rId35" o:title=""/>
          </v:shape>
          <o:OLEObject Type="Embed" ProgID="Excel.Sheet.12" ShapeID="_x0000_i1039" DrawAspect="Content" ObjectID="_1321891156" r:id="rId36"/>
        </w:object>
      </w:r>
    </w:p>
    <w:p w14:paraId="50D1B568" w14:textId="77777777" w:rsidR="00C31CBD" w:rsidRDefault="00EE4C12" w:rsidP="00DE500E">
      <w:pPr>
        <w:spacing w:line="480" w:lineRule="auto"/>
      </w:pPr>
      <w:r>
        <w:object w:dxaOrig="22100" w:dyaOrig="10560" w14:anchorId="1B392890">
          <v:shape id="_x0000_i1040" type="#_x0000_t75" style="width:520.8pt;height:5in" o:ole="">
            <v:imagedata r:id="rId37" o:title=""/>
          </v:shape>
          <o:OLEObject Type="Embed" ProgID="Excel.Sheet.12" ShapeID="_x0000_i1040" DrawAspect="Content" ObjectID="_1321891157" r:id="rId38"/>
        </w:object>
      </w:r>
    </w:p>
    <w:p w14:paraId="64F3844C" w14:textId="18293977" w:rsidR="00355659" w:rsidRDefault="00F04D3F" w:rsidP="00DE500E">
      <w:pPr>
        <w:spacing w:line="480" w:lineRule="auto"/>
        <w:rPr>
          <w:b/>
          <w:u w:val="single"/>
        </w:rPr>
      </w:pPr>
      <w:r w:rsidRPr="00F04D3F">
        <w:rPr>
          <w:b/>
          <w:u w:val="single"/>
        </w:rPr>
        <w:lastRenderedPageBreak/>
        <w:t>Solution 4:</w:t>
      </w:r>
    </w:p>
    <w:p w14:paraId="096910FF" w14:textId="2E423F3C" w:rsidR="00D16A03" w:rsidRDefault="00817554" w:rsidP="00D16A03">
      <w:pPr>
        <w:spacing w:line="480" w:lineRule="auto"/>
      </w:pPr>
      <w:r>
        <w:tab/>
      </w:r>
      <w:r w:rsidR="00D16A03">
        <w:t>Madison should go ahead with the existing bid price of $9.50/share for acquiring Sun. The bidding strategy would be to start with $9.50/share as IBM is also competing at almost the same price. Oracle has given Sun a premium of about 43% than its market price and is considered a substantial premium</w:t>
      </w:r>
      <w:r w:rsidR="002B0B78">
        <w:t xml:space="preserve"> in the industry</w:t>
      </w:r>
      <w:r w:rsidR="00D16A03">
        <w:t xml:space="preserve">. </w:t>
      </w:r>
    </w:p>
    <w:p w14:paraId="1EBDADFA" w14:textId="407228AD" w:rsidR="00D16A03" w:rsidRDefault="00D16A03" w:rsidP="00D16A03">
      <w:pPr>
        <w:spacing w:line="480" w:lineRule="auto"/>
      </w:pPr>
      <w:r>
        <w:tab/>
        <w:t>Oracle should try to position itself as a big str</w:t>
      </w:r>
      <w:r w:rsidR="00B96232">
        <w:t>ategic buyer for Sun and convey</w:t>
      </w:r>
      <w:r w:rsidR="00534AE4">
        <w:t xml:space="preserve"> Sun about </w:t>
      </w:r>
      <w:r>
        <w:t xml:space="preserve">possible synergies to grow Sun and cross-selling opportunities with Oracle. Also, Oracle should use its previous successful acquisitions to convince Sun about high probability to </w:t>
      </w:r>
      <w:r w:rsidR="00C7398B">
        <w:t>integrate both the companies a</w:t>
      </w:r>
      <w:r w:rsidR="0054126B">
        <w:t>s</w:t>
      </w:r>
      <w:r>
        <w:t xml:space="preserve"> its core products are well integrated with Java and Solaris.</w:t>
      </w:r>
    </w:p>
    <w:p w14:paraId="6DC81128" w14:textId="77777777" w:rsidR="00D16A03" w:rsidRDefault="00D16A03" w:rsidP="00D16A03">
      <w:pPr>
        <w:spacing w:line="480" w:lineRule="auto"/>
      </w:pPr>
      <w:r>
        <w:tab/>
        <w:t>Oracle has to take the risk of integration synergies. So, Oracle should evaluate IBM’s next move before it can increase its offer as it’s a bit risky proposition for Oracle to raise the offer now and in the optimistic case of all the synergies Oracle can still give Sun the best price of $11.57/share.  So, Oracle should wait and watch before walking away at $11.57/share. It is perfectly fine for Oracle even if another bidder offers a better price than $9.5/Share as Oracle can only offer based on the synergies with Sun and cannot stretch itself beyond a point.</w:t>
      </w:r>
    </w:p>
    <w:p w14:paraId="11188949" w14:textId="77777777" w:rsidR="001A1FCC" w:rsidRDefault="00D16A03" w:rsidP="00DE500E">
      <w:pPr>
        <w:spacing w:line="480" w:lineRule="auto"/>
      </w:pPr>
      <w:r>
        <w:tab/>
        <w:t xml:space="preserve">Oracle should structure their deal with a mix of cash and equity. Oracle should pay 80% of the deal in cash and the remaining 20% in stocks with an earn-out provision. Oracle is strong financially and has more than $12Bn in cash on balance sheets and can use this excess cash to offer 80% cash for the acquisition.  It also sends a good message to stockholders about positive sentiment that Oracle has on acquiring Sun.  </w:t>
      </w:r>
    </w:p>
    <w:p w14:paraId="6D4BA0EA" w14:textId="4084CDC0" w:rsidR="00D16A03" w:rsidRPr="00C31CBD" w:rsidRDefault="001A1FCC" w:rsidP="00DE500E">
      <w:pPr>
        <w:spacing w:line="480" w:lineRule="auto"/>
      </w:pPr>
      <w:r>
        <w:tab/>
      </w:r>
      <w:r w:rsidR="00D16A03">
        <w:t>Stock is provided mainly because there is significant risk for Oracle if the revenue targets are not achieved</w:t>
      </w:r>
      <w:r w:rsidR="00F54D70">
        <w:t xml:space="preserve"> and stock prices are not very volatile</w:t>
      </w:r>
      <w:r w:rsidR="00D16A03">
        <w:t xml:space="preserve">. Exhibit below shows the sensitivity analysis in case Sun achieves only 90% revenues. The stock price would then be substantially smaller at $7.2/share much below its $9.5/share offer price and $11.57/share (best case). Earn out can help reduce the risk by paying the stocks over a period of 2 years at 10% in first year and 10% in second year </w:t>
      </w:r>
      <w:r w:rsidR="006B409E">
        <w:t xml:space="preserve">contingent </w:t>
      </w:r>
      <w:bookmarkStart w:id="0" w:name="_GoBack"/>
      <w:bookmarkEnd w:id="0"/>
      <w:r w:rsidR="00D16A03">
        <w:t xml:space="preserve">on attaining at least 95% of revenues. </w:t>
      </w:r>
    </w:p>
    <w:p w14:paraId="1843BADC" w14:textId="2EBCF256" w:rsidR="00355659" w:rsidRPr="0039415B" w:rsidRDefault="00F64BDF" w:rsidP="00DE500E">
      <w:pPr>
        <w:spacing w:line="480" w:lineRule="auto"/>
      </w:pPr>
      <w:r>
        <w:object w:dxaOrig="20100" w:dyaOrig="24360" w14:anchorId="6A186DA6">
          <v:shape id="_x0000_i1041" type="#_x0000_t75" style="width:515.2pt;height:711.2pt" o:ole="">
            <v:imagedata r:id="rId39" o:title=""/>
          </v:shape>
          <o:OLEObject Type="Embed" ProgID="Excel.Sheet.12" ShapeID="_x0000_i1041" DrawAspect="Content" ObjectID="_1321891158" r:id="rId40"/>
        </w:object>
      </w:r>
    </w:p>
    <w:sectPr w:rsidR="00355659" w:rsidRPr="0039415B" w:rsidSect="00355659">
      <w:footerReference w:type="even" r:id="rId41"/>
      <w:footerReference w:type="default" r:id="rId42"/>
      <w:pgSz w:w="11900" w:h="16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149F3BF" w14:textId="77777777" w:rsidR="00087B66" w:rsidRDefault="00087B66" w:rsidP="00355659">
      <w:r>
        <w:separator/>
      </w:r>
    </w:p>
  </w:endnote>
  <w:endnote w:type="continuationSeparator" w:id="0">
    <w:p w14:paraId="33E92BC6" w14:textId="77777777" w:rsidR="00087B66" w:rsidRDefault="00087B66" w:rsidP="003556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55840" w14:textId="77777777" w:rsidR="00087B66" w:rsidRDefault="00087B66" w:rsidP="007F34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B4D236F" w14:textId="77777777" w:rsidR="00087B66" w:rsidRDefault="00087B66" w:rsidP="0039415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9F393" w14:textId="77777777" w:rsidR="00087B66" w:rsidRDefault="00087B66" w:rsidP="007F34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B409E">
      <w:rPr>
        <w:rStyle w:val="PageNumber"/>
        <w:noProof/>
      </w:rPr>
      <w:t>13</w:t>
    </w:r>
    <w:r>
      <w:rPr>
        <w:rStyle w:val="PageNumber"/>
      </w:rPr>
      <w:fldChar w:fldCharType="end"/>
    </w:r>
  </w:p>
  <w:p w14:paraId="19023A79" w14:textId="77777777" w:rsidR="00087B66" w:rsidRDefault="00087B66" w:rsidP="0039415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38BC8BB8" w14:textId="77777777" w:rsidR="00087B66" w:rsidRDefault="00087B66" w:rsidP="00355659">
      <w:r>
        <w:separator/>
      </w:r>
    </w:p>
  </w:footnote>
  <w:footnote w:type="continuationSeparator" w:id="0">
    <w:p w14:paraId="2E950C79" w14:textId="77777777" w:rsidR="00087B66" w:rsidRDefault="00087B66" w:rsidP="0035565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62E4"/>
    <w:rsid w:val="00036000"/>
    <w:rsid w:val="000655FB"/>
    <w:rsid w:val="00087B66"/>
    <w:rsid w:val="000F03FE"/>
    <w:rsid w:val="00100846"/>
    <w:rsid w:val="00162153"/>
    <w:rsid w:val="0017448F"/>
    <w:rsid w:val="001A1FCC"/>
    <w:rsid w:val="001A272A"/>
    <w:rsid w:val="001D6420"/>
    <w:rsid w:val="001D784E"/>
    <w:rsid w:val="00274AC5"/>
    <w:rsid w:val="002B09F6"/>
    <w:rsid w:val="002B0B78"/>
    <w:rsid w:val="002B6A04"/>
    <w:rsid w:val="002C7199"/>
    <w:rsid w:val="00355659"/>
    <w:rsid w:val="00384014"/>
    <w:rsid w:val="0039415B"/>
    <w:rsid w:val="00394C34"/>
    <w:rsid w:val="003B5961"/>
    <w:rsid w:val="003D6A78"/>
    <w:rsid w:val="0040135A"/>
    <w:rsid w:val="0041584B"/>
    <w:rsid w:val="00470D72"/>
    <w:rsid w:val="00483021"/>
    <w:rsid w:val="004C4395"/>
    <w:rsid w:val="005258AA"/>
    <w:rsid w:val="00534AE4"/>
    <w:rsid w:val="0054126B"/>
    <w:rsid w:val="005B2C4C"/>
    <w:rsid w:val="005C2F8E"/>
    <w:rsid w:val="005D044E"/>
    <w:rsid w:val="0062748A"/>
    <w:rsid w:val="006949E1"/>
    <w:rsid w:val="006A1AAF"/>
    <w:rsid w:val="006B409E"/>
    <w:rsid w:val="006C4697"/>
    <w:rsid w:val="006E20B3"/>
    <w:rsid w:val="006E3F25"/>
    <w:rsid w:val="00710174"/>
    <w:rsid w:val="00756458"/>
    <w:rsid w:val="007B62E4"/>
    <w:rsid w:val="007E2983"/>
    <w:rsid w:val="007E2D33"/>
    <w:rsid w:val="007F3406"/>
    <w:rsid w:val="00817554"/>
    <w:rsid w:val="00832B90"/>
    <w:rsid w:val="00915009"/>
    <w:rsid w:val="00917716"/>
    <w:rsid w:val="00931182"/>
    <w:rsid w:val="009627B8"/>
    <w:rsid w:val="00977BD5"/>
    <w:rsid w:val="009803B8"/>
    <w:rsid w:val="0099288E"/>
    <w:rsid w:val="00A029DB"/>
    <w:rsid w:val="00A35C87"/>
    <w:rsid w:val="00A57A69"/>
    <w:rsid w:val="00A87B6B"/>
    <w:rsid w:val="00A934B0"/>
    <w:rsid w:val="00A94DA1"/>
    <w:rsid w:val="00A955B9"/>
    <w:rsid w:val="00B465AD"/>
    <w:rsid w:val="00B9128E"/>
    <w:rsid w:val="00B96232"/>
    <w:rsid w:val="00BC6AA2"/>
    <w:rsid w:val="00BC74F1"/>
    <w:rsid w:val="00BD2C92"/>
    <w:rsid w:val="00C26161"/>
    <w:rsid w:val="00C31CBD"/>
    <w:rsid w:val="00C662B9"/>
    <w:rsid w:val="00C7398B"/>
    <w:rsid w:val="00C746E6"/>
    <w:rsid w:val="00C87FAF"/>
    <w:rsid w:val="00C91BF2"/>
    <w:rsid w:val="00CB5D8A"/>
    <w:rsid w:val="00CD2544"/>
    <w:rsid w:val="00CE202E"/>
    <w:rsid w:val="00CE4C3F"/>
    <w:rsid w:val="00CF08EE"/>
    <w:rsid w:val="00D0105B"/>
    <w:rsid w:val="00D16A03"/>
    <w:rsid w:val="00D46AF5"/>
    <w:rsid w:val="00DE500E"/>
    <w:rsid w:val="00E32C25"/>
    <w:rsid w:val="00E40FE5"/>
    <w:rsid w:val="00E45116"/>
    <w:rsid w:val="00E6101E"/>
    <w:rsid w:val="00E6757D"/>
    <w:rsid w:val="00EC561F"/>
    <w:rsid w:val="00EC5D2D"/>
    <w:rsid w:val="00EE4C12"/>
    <w:rsid w:val="00F04D3F"/>
    <w:rsid w:val="00F11AED"/>
    <w:rsid w:val="00F26132"/>
    <w:rsid w:val="00F3500E"/>
    <w:rsid w:val="00F54D70"/>
    <w:rsid w:val="00F63195"/>
    <w:rsid w:val="00F64BDF"/>
    <w:rsid w:val="00F84BDE"/>
    <w:rsid w:val="00F942FB"/>
    <w:rsid w:val="00FA5A00"/>
    <w:rsid w:val="00FB0021"/>
    <w:rsid w:val="00FF0852"/>
    <w:rsid w:val="00FF4A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CDE7F1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355659"/>
  </w:style>
  <w:style w:type="character" w:customStyle="1" w:styleId="FootnoteTextChar">
    <w:name w:val="Footnote Text Char"/>
    <w:basedOn w:val="DefaultParagraphFont"/>
    <w:link w:val="FootnoteText"/>
    <w:uiPriority w:val="99"/>
    <w:rsid w:val="00355659"/>
  </w:style>
  <w:style w:type="character" w:styleId="FootnoteReference">
    <w:name w:val="footnote reference"/>
    <w:basedOn w:val="DefaultParagraphFont"/>
    <w:uiPriority w:val="99"/>
    <w:unhideWhenUsed/>
    <w:rsid w:val="00355659"/>
    <w:rPr>
      <w:vertAlign w:val="superscript"/>
    </w:rPr>
  </w:style>
  <w:style w:type="paragraph" w:styleId="Footer">
    <w:name w:val="footer"/>
    <w:basedOn w:val="Normal"/>
    <w:link w:val="FooterChar"/>
    <w:uiPriority w:val="99"/>
    <w:unhideWhenUsed/>
    <w:rsid w:val="0039415B"/>
    <w:pPr>
      <w:tabs>
        <w:tab w:val="center" w:pos="4320"/>
        <w:tab w:val="right" w:pos="8640"/>
      </w:tabs>
    </w:pPr>
  </w:style>
  <w:style w:type="character" w:customStyle="1" w:styleId="FooterChar">
    <w:name w:val="Footer Char"/>
    <w:basedOn w:val="DefaultParagraphFont"/>
    <w:link w:val="Footer"/>
    <w:uiPriority w:val="99"/>
    <w:rsid w:val="0039415B"/>
  </w:style>
  <w:style w:type="character" w:styleId="PageNumber">
    <w:name w:val="page number"/>
    <w:basedOn w:val="DefaultParagraphFont"/>
    <w:uiPriority w:val="99"/>
    <w:semiHidden/>
    <w:unhideWhenUsed/>
    <w:rsid w:val="0039415B"/>
  </w:style>
  <w:style w:type="paragraph" w:styleId="Header">
    <w:name w:val="header"/>
    <w:basedOn w:val="Normal"/>
    <w:link w:val="HeaderChar"/>
    <w:uiPriority w:val="99"/>
    <w:unhideWhenUsed/>
    <w:rsid w:val="00B465AD"/>
    <w:pPr>
      <w:tabs>
        <w:tab w:val="center" w:pos="4320"/>
        <w:tab w:val="right" w:pos="8640"/>
      </w:tabs>
    </w:pPr>
  </w:style>
  <w:style w:type="character" w:customStyle="1" w:styleId="HeaderChar">
    <w:name w:val="Header Char"/>
    <w:basedOn w:val="DefaultParagraphFont"/>
    <w:link w:val="Header"/>
    <w:uiPriority w:val="99"/>
    <w:rsid w:val="00B465A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355659"/>
  </w:style>
  <w:style w:type="character" w:customStyle="1" w:styleId="FootnoteTextChar">
    <w:name w:val="Footnote Text Char"/>
    <w:basedOn w:val="DefaultParagraphFont"/>
    <w:link w:val="FootnoteText"/>
    <w:uiPriority w:val="99"/>
    <w:rsid w:val="00355659"/>
  </w:style>
  <w:style w:type="character" w:styleId="FootnoteReference">
    <w:name w:val="footnote reference"/>
    <w:basedOn w:val="DefaultParagraphFont"/>
    <w:uiPriority w:val="99"/>
    <w:unhideWhenUsed/>
    <w:rsid w:val="00355659"/>
    <w:rPr>
      <w:vertAlign w:val="superscript"/>
    </w:rPr>
  </w:style>
  <w:style w:type="paragraph" w:styleId="Footer">
    <w:name w:val="footer"/>
    <w:basedOn w:val="Normal"/>
    <w:link w:val="FooterChar"/>
    <w:uiPriority w:val="99"/>
    <w:unhideWhenUsed/>
    <w:rsid w:val="0039415B"/>
    <w:pPr>
      <w:tabs>
        <w:tab w:val="center" w:pos="4320"/>
        <w:tab w:val="right" w:pos="8640"/>
      </w:tabs>
    </w:pPr>
  </w:style>
  <w:style w:type="character" w:customStyle="1" w:styleId="FooterChar">
    <w:name w:val="Footer Char"/>
    <w:basedOn w:val="DefaultParagraphFont"/>
    <w:link w:val="Footer"/>
    <w:uiPriority w:val="99"/>
    <w:rsid w:val="0039415B"/>
  </w:style>
  <w:style w:type="character" w:styleId="PageNumber">
    <w:name w:val="page number"/>
    <w:basedOn w:val="DefaultParagraphFont"/>
    <w:uiPriority w:val="99"/>
    <w:semiHidden/>
    <w:unhideWhenUsed/>
    <w:rsid w:val="0039415B"/>
  </w:style>
  <w:style w:type="paragraph" w:styleId="Header">
    <w:name w:val="header"/>
    <w:basedOn w:val="Normal"/>
    <w:link w:val="HeaderChar"/>
    <w:uiPriority w:val="99"/>
    <w:unhideWhenUsed/>
    <w:rsid w:val="00B465AD"/>
    <w:pPr>
      <w:tabs>
        <w:tab w:val="center" w:pos="4320"/>
        <w:tab w:val="right" w:pos="8640"/>
      </w:tabs>
    </w:pPr>
  </w:style>
  <w:style w:type="character" w:customStyle="1" w:styleId="HeaderChar">
    <w:name w:val="Header Char"/>
    <w:basedOn w:val="DefaultParagraphFont"/>
    <w:link w:val="Header"/>
    <w:uiPriority w:val="99"/>
    <w:rsid w:val="00B465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781448">
      <w:bodyDiv w:val="1"/>
      <w:marLeft w:val="0"/>
      <w:marRight w:val="0"/>
      <w:marTop w:val="0"/>
      <w:marBottom w:val="0"/>
      <w:divBdr>
        <w:top w:val="none" w:sz="0" w:space="0" w:color="auto"/>
        <w:left w:val="none" w:sz="0" w:space="0" w:color="auto"/>
        <w:bottom w:val="none" w:sz="0" w:space="0" w:color="auto"/>
        <w:right w:val="none" w:sz="0" w:space="0" w:color="auto"/>
      </w:divBdr>
    </w:div>
    <w:div w:id="155807211">
      <w:bodyDiv w:val="1"/>
      <w:marLeft w:val="0"/>
      <w:marRight w:val="0"/>
      <w:marTop w:val="0"/>
      <w:marBottom w:val="0"/>
      <w:divBdr>
        <w:top w:val="none" w:sz="0" w:space="0" w:color="auto"/>
        <w:left w:val="none" w:sz="0" w:space="0" w:color="auto"/>
        <w:bottom w:val="none" w:sz="0" w:space="0" w:color="auto"/>
        <w:right w:val="none" w:sz="0" w:space="0" w:color="auto"/>
      </w:divBdr>
    </w:div>
    <w:div w:id="261647632">
      <w:bodyDiv w:val="1"/>
      <w:marLeft w:val="0"/>
      <w:marRight w:val="0"/>
      <w:marTop w:val="0"/>
      <w:marBottom w:val="0"/>
      <w:divBdr>
        <w:top w:val="none" w:sz="0" w:space="0" w:color="auto"/>
        <w:left w:val="none" w:sz="0" w:space="0" w:color="auto"/>
        <w:bottom w:val="none" w:sz="0" w:space="0" w:color="auto"/>
        <w:right w:val="none" w:sz="0" w:space="0" w:color="auto"/>
      </w:divBdr>
    </w:div>
    <w:div w:id="431047977">
      <w:bodyDiv w:val="1"/>
      <w:marLeft w:val="0"/>
      <w:marRight w:val="0"/>
      <w:marTop w:val="0"/>
      <w:marBottom w:val="0"/>
      <w:divBdr>
        <w:top w:val="none" w:sz="0" w:space="0" w:color="auto"/>
        <w:left w:val="none" w:sz="0" w:space="0" w:color="auto"/>
        <w:bottom w:val="none" w:sz="0" w:space="0" w:color="auto"/>
        <w:right w:val="none" w:sz="0" w:space="0" w:color="auto"/>
      </w:divBdr>
    </w:div>
    <w:div w:id="470097087">
      <w:bodyDiv w:val="1"/>
      <w:marLeft w:val="0"/>
      <w:marRight w:val="0"/>
      <w:marTop w:val="0"/>
      <w:marBottom w:val="0"/>
      <w:divBdr>
        <w:top w:val="none" w:sz="0" w:space="0" w:color="auto"/>
        <w:left w:val="none" w:sz="0" w:space="0" w:color="auto"/>
        <w:bottom w:val="none" w:sz="0" w:space="0" w:color="auto"/>
        <w:right w:val="none" w:sz="0" w:space="0" w:color="auto"/>
      </w:divBdr>
    </w:div>
    <w:div w:id="556279073">
      <w:bodyDiv w:val="1"/>
      <w:marLeft w:val="0"/>
      <w:marRight w:val="0"/>
      <w:marTop w:val="0"/>
      <w:marBottom w:val="0"/>
      <w:divBdr>
        <w:top w:val="none" w:sz="0" w:space="0" w:color="auto"/>
        <w:left w:val="none" w:sz="0" w:space="0" w:color="auto"/>
        <w:bottom w:val="none" w:sz="0" w:space="0" w:color="auto"/>
        <w:right w:val="none" w:sz="0" w:space="0" w:color="auto"/>
      </w:divBdr>
    </w:div>
    <w:div w:id="1394038875">
      <w:bodyDiv w:val="1"/>
      <w:marLeft w:val="0"/>
      <w:marRight w:val="0"/>
      <w:marTop w:val="0"/>
      <w:marBottom w:val="0"/>
      <w:divBdr>
        <w:top w:val="none" w:sz="0" w:space="0" w:color="auto"/>
        <w:left w:val="none" w:sz="0" w:space="0" w:color="auto"/>
        <w:bottom w:val="none" w:sz="0" w:space="0" w:color="auto"/>
        <w:right w:val="none" w:sz="0" w:space="0" w:color="auto"/>
      </w:divBdr>
    </w:div>
    <w:div w:id="1405570029">
      <w:bodyDiv w:val="1"/>
      <w:marLeft w:val="0"/>
      <w:marRight w:val="0"/>
      <w:marTop w:val="0"/>
      <w:marBottom w:val="0"/>
      <w:divBdr>
        <w:top w:val="none" w:sz="0" w:space="0" w:color="auto"/>
        <w:left w:val="none" w:sz="0" w:space="0" w:color="auto"/>
        <w:bottom w:val="none" w:sz="0" w:space="0" w:color="auto"/>
        <w:right w:val="none" w:sz="0" w:space="0" w:color="auto"/>
      </w:divBdr>
    </w:div>
    <w:div w:id="1609851229">
      <w:bodyDiv w:val="1"/>
      <w:marLeft w:val="0"/>
      <w:marRight w:val="0"/>
      <w:marTop w:val="0"/>
      <w:marBottom w:val="0"/>
      <w:divBdr>
        <w:top w:val="none" w:sz="0" w:space="0" w:color="auto"/>
        <w:left w:val="none" w:sz="0" w:space="0" w:color="auto"/>
        <w:bottom w:val="none" w:sz="0" w:space="0" w:color="auto"/>
        <w:right w:val="none" w:sz="0" w:space="0" w:color="auto"/>
      </w:divBdr>
    </w:div>
    <w:div w:id="161914035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package" Target="embeddings/Microsoft_Excel_Sheet7.xlsx"/><Relationship Id="rId21" Type="http://schemas.openxmlformats.org/officeDocument/2006/relationships/image" Target="media/image8.emf"/><Relationship Id="rId22" Type="http://schemas.openxmlformats.org/officeDocument/2006/relationships/package" Target="embeddings/Microsoft_Excel_Sheet8.xlsx"/><Relationship Id="rId23" Type="http://schemas.openxmlformats.org/officeDocument/2006/relationships/image" Target="media/image9.emf"/><Relationship Id="rId24" Type="http://schemas.openxmlformats.org/officeDocument/2006/relationships/package" Target="embeddings/Microsoft_Excel_Sheet9.xlsx"/><Relationship Id="rId25" Type="http://schemas.openxmlformats.org/officeDocument/2006/relationships/image" Target="media/image10.emf"/><Relationship Id="rId26" Type="http://schemas.openxmlformats.org/officeDocument/2006/relationships/package" Target="embeddings/Microsoft_Excel_Sheet10.xlsx"/><Relationship Id="rId27" Type="http://schemas.openxmlformats.org/officeDocument/2006/relationships/image" Target="media/image11.emf"/><Relationship Id="rId28" Type="http://schemas.openxmlformats.org/officeDocument/2006/relationships/package" Target="embeddings/Microsoft_Excel_Sheet11.xlsx"/><Relationship Id="rId29" Type="http://schemas.openxmlformats.org/officeDocument/2006/relationships/image" Target="media/image12.emf"/><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package" Target="embeddings/Microsoft_Excel_Sheet12.xlsx"/><Relationship Id="rId31" Type="http://schemas.openxmlformats.org/officeDocument/2006/relationships/image" Target="media/image13.emf"/><Relationship Id="rId32" Type="http://schemas.openxmlformats.org/officeDocument/2006/relationships/package" Target="embeddings/Microsoft_Excel_Sheet13.xlsx"/><Relationship Id="rId9" Type="http://schemas.openxmlformats.org/officeDocument/2006/relationships/image" Target="media/image2.emf"/><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package" Target="embeddings/Microsoft_Excel_Sheet1.xlsx"/><Relationship Id="rId33" Type="http://schemas.openxmlformats.org/officeDocument/2006/relationships/image" Target="media/image14.emf"/><Relationship Id="rId34" Type="http://schemas.openxmlformats.org/officeDocument/2006/relationships/package" Target="embeddings/Microsoft_Excel_Sheet14.xlsx"/><Relationship Id="rId35" Type="http://schemas.openxmlformats.org/officeDocument/2006/relationships/image" Target="media/image15.emf"/><Relationship Id="rId36" Type="http://schemas.openxmlformats.org/officeDocument/2006/relationships/package" Target="embeddings/Microsoft_Excel_Sheet15.xlsx"/><Relationship Id="rId10" Type="http://schemas.openxmlformats.org/officeDocument/2006/relationships/package" Target="embeddings/Microsoft_Excel_Sheet2.xlsx"/><Relationship Id="rId11" Type="http://schemas.openxmlformats.org/officeDocument/2006/relationships/image" Target="media/image3.emf"/><Relationship Id="rId12" Type="http://schemas.openxmlformats.org/officeDocument/2006/relationships/package" Target="embeddings/Microsoft_Excel_Sheet3.xlsx"/><Relationship Id="rId13" Type="http://schemas.openxmlformats.org/officeDocument/2006/relationships/image" Target="media/image4.emf"/><Relationship Id="rId14" Type="http://schemas.openxmlformats.org/officeDocument/2006/relationships/package" Target="embeddings/Microsoft_Excel_Sheet4.xlsx"/><Relationship Id="rId15" Type="http://schemas.openxmlformats.org/officeDocument/2006/relationships/image" Target="media/image5.emf"/><Relationship Id="rId16" Type="http://schemas.openxmlformats.org/officeDocument/2006/relationships/package" Target="embeddings/Microsoft_Excel_Sheet5.xlsx"/><Relationship Id="rId17" Type="http://schemas.openxmlformats.org/officeDocument/2006/relationships/image" Target="media/image6.emf"/><Relationship Id="rId18" Type="http://schemas.openxmlformats.org/officeDocument/2006/relationships/package" Target="embeddings/Microsoft_Excel_Sheet6.xlsx"/><Relationship Id="rId19" Type="http://schemas.openxmlformats.org/officeDocument/2006/relationships/image" Target="media/image7.emf"/><Relationship Id="rId37" Type="http://schemas.openxmlformats.org/officeDocument/2006/relationships/image" Target="media/image16.emf"/><Relationship Id="rId38" Type="http://schemas.openxmlformats.org/officeDocument/2006/relationships/package" Target="embeddings/Microsoft_Excel_Sheet16.xlsx"/><Relationship Id="rId39" Type="http://schemas.openxmlformats.org/officeDocument/2006/relationships/image" Target="media/image17.emf"/><Relationship Id="rId40" Type="http://schemas.openxmlformats.org/officeDocument/2006/relationships/package" Target="embeddings/Microsoft_Excel_Sheet17.xlsx"/><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13</Pages>
  <Words>1536</Words>
  <Characters>8758</Characters>
  <Application>Microsoft Macintosh Word</Application>
  <DocSecurity>0</DocSecurity>
  <Lines>72</Lines>
  <Paragraphs>20</Paragraphs>
  <ScaleCrop>false</ScaleCrop>
  <Company/>
  <LinksUpToDate>false</LinksUpToDate>
  <CharactersWithSpaces>10274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chethan</dc:creator>
  <cp:keywords/>
  <dc:description/>
  <cp:lastModifiedBy>chethan</cp:lastModifiedBy>
  <cp:revision>41</cp:revision>
  <cp:lastPrinted>2013-12-08T02:12:00Z</cp:lastPrinted>
  <dcterms:created xsi:type="dcterms:W3CDTF">2013-12-08T16:43:00Z</dcterms:created>
  <dcterms:modified xsi:type="dcterms:W3CDTF">2013-12-09T00:02:00Z</dcterms:modified>
</cp:coreProperties>
</file>